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DE6310" w:rsidRPr="00B42577">
        <w:rPr>
          <w:rFonts w:ascii="Tahoma" w:hAnsi="Tahoma" w:cs="Tahoma"/>
          <w:b/>
          <w:bCs/>
          <w:sz w:val="28"/>
        </w:rPr>
        <w:t>9</w:t>
      </w:r>
      <w:r w:rsidR="00B42577">
        <w:rPr>
          <w:rFonts w:ascii="Tahoma" w:hAnsi="Tahoma" w:cs="Tahoma"/>
          <w:b/>
          <w:bCs/>
          <w:sz w:val="28"/>
        </w:rPr>
        <w:t>3</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76191E" w:rsidRDefault="0076191E" w:rsidP="0034425A">
      <w:pPr>
        <w:spacing w:after="0"/>
        <w:ind w:right="49"/>
        <w:jc w:val="both"/>
        <w:rPr>
          <w:rFonts w:ascii="Arial" w:eastAsia="Calibri" w:hAnsi="Arial" w:cs="Arial"/>
          <w:bCs/>
          <w:sz w:val="24"/>
          <w:szCs w:val="24"/>
          <w:lang w:val="es-MX"/>
        </w:rPr>
      </w:pPr>
      <w:r>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 e</w:t>
      </w:r>
      <w:r w:rsidR="0057099D">
        <w:rPr>
          <w:rFonts w:ascii="Arial" w:eastAsia="Calibri" w:hAnsi="Arial" w:cs="Arial"/>
          <w:bCs/>
          <w:sz w:val="24"/>
          <w:szCs w:val="24"/>
          <w:lang w:val="es-MX"/>
        </w:rPr>
        <w:t xml:space="preserve">n su Sesión Ordinaria de fecha </w:t>
      </w:r>
      <w:r w:rsidR="00B725A3">
        <w:rPr>
          <w:rFonts w:ascii="Arial" w:eastAsia="Calibri" w:hAnsi="Arial" w:cs="Arial"/>
          <w:bCs/>
          <w:sz w:val="24"/>
          <w:szCs w:val="24"/>
          <w:lang w:val="es-MX"/>
        </w:rPr>
        <w:t>24</w:t>
      </w:r>
      <w:r w:rsidR="0057099D">
        <w:rPr>
          <w:rFonts w:ascii="Arial" w:eastAsia="Calibri" w:hAnsi="Arial" w:cs="Arial"/>
          <w:bCs/>
          <w:sz w:val="24"/>
          <w:szCs w:val="24"/>
          <w:lang w:val="es-MX"/>
        </w:rPr>
        <w:t xml:space="preserve"> de </w:t>
      </w:r>
      <w:r w:rsidR="0064304B">
        <w:rPr>
          <w:rFonts w:ascii="Arial" w:eastAsia="Calibri" w:hAnsi="Arial" w:cs="Arial"/>
          <w:bCs/>
          <w:sz w:val="24"/>
          <w:szCs w:val="24"/>
          <w:lang w:val="es-MX"/>
        </w:rPr>
        <w:t>abril</w:t>
      </w:r>
      <w:r>
        <w:rPr>
          <w:rFonts w:ascii="Arial" w:eastAsia="Calibri" w:hAnsi="Arial" w:cs="Arial"/>
          <w:bCs/>
          <w:sz w:val="24"/>
          <w:szCs w:val="24"/>
          <w:lang w:val="es-MX"/>
        </w:rPr>
        <w:t xml:space="preserve"> de  2019, </w:t>
      </w:r>
      <w:r>
        <w:rPr>
          <w:rFonts w:ascii="Arial" w:eastAsia="Calibri" w:hAnsi="Arial" w:cs="Arial"/>
          <w:bCs/>
          <w:sz w:val="24"/>
          <w:szCs w:val="24"/>
        </w:rPr>
        <w:t>comunica para los efectos correspondientes, el contenido de</w:t>
      </w:r>
      <w:r w:rsidR="00B725A3">
        <w:rPr>
          <w:rFonts w:ascii="Arial" w:eastAsia="Calibri" w:hAnsi="Arial" w:cs="Arial"/>
          <w:bCs/>
          <w:sz w:val="24"/>
          <w:szCs w:val="24"/>
        </w:rPr>
        <w:t xml:space="preserve"> </w:t>
      </w:r>
      <w:r>
        <w:rPr>
          <w:rFonts w:ascii="Arial" w:eastAsia="Calibri" w:hAnsi="Arial" w:cs="Arial"/>
          <w:bCs/>
          <w:sz w:val="24"/>
          <w:szCs w:val="24"/>
        </w:rPr>
        <w:t>l</w:t>
      </w:r>
      <w:r w:rsidR="00B725A3">
        <w:rPr>
          <w:rFonts w:ascii="Arial" w:eastAsia="Calibri" w:hAnsi="Arial" w:cs="Arial"/>
          <w:bCs/>
          <w:sz w:val="24"/>
          <w:szCs w:val="24"/>
        </w:rPr>
        <w:t>a</w:t>
      </w:r>
      <w:r>
        <w:rPr>
          <w:rFonts w:ascii="Arial" w:eastAsia="Calibri" w:hAnsi="Arial" w:cs="Arial"/>
          <w:bCs/>
          <w:sz w:val="24"/>
          <w:szCs w:val="24"/>
        </w:rPr>
        <w:t xml:space="preserve"> </w:t>
      </w:r>
      <w:r w:rsidR="00B725A3" w:rsidRPr="00B725A3">
        <w:rPr>
          <w:rFonts w:ascii="Arial" w:hAnsi="Arial" w:cs="Arial"/>
          <w:bCs/>
          <w:sz w:val="24"/>
          <w:szCs w:val="24"/>
          <w:lang w:val="es-ES_tradnl"/>
        </w:rPr>
        <w:t>Circular número 1/2019, de fecha 26 de marzo de 2019, suscrito por el Magistrado Ricardo Suro Esteves, Presidente del Supremo Tribunal de Justicia del Estado de Guadalajara, Jalisco, mediante la cual comunica que en Sesión del Honorable Pleno del Supremo Tribunal de Justicia, celebrada el día 22 de enero del año en curso, se autorizó el calendario de días inhábiles por Ley y los días que se inhabilitaron para el año 2019, de igual forma</w:t>
      </w:r>
      <w:r w:rsidR="004F458E">
        <w:rPr>
          <w:rFonts w:ascii="Arial" w:hAnsi="Arial" w:cs="Arial"/>
          <w:bCs/>
          <w:sz w:val="24"/>
          <w:szCs w:val="24"/>
          <w:lang w:val="es-ES_tradnl"/>
        </w:rPr>
        <w:t>,</w:t>
      </w:r>
      <w:r w:rsidR="00B725A3" w:rsidRPr="00B725A3">
        <w:rPr>
          <w:rFonts w:ascii="Arial" w:hAnsi="Arial" w:cs="Arial"/>
          <w:bCs/>
          <w:sz w:val="24"/>
          <w:szCs w:val="24"/>
          <w:lang w:val="es-ES_tradnl"/>
        </w:rPr>
        <w:t xml:space="preserve"> se aprueba el periodo de descanso para los Servidores Públicos del Supremo Tribunal de Justicia, a partir del 1 al 10 de mayo del año 2019</w:t>
      </w:r>
      <w:r>
        <w:rPr>
          <w:rFonts w:ascii="Arial" w:eastAsia="Calibri" w:hAnsi="Arial" w:cs="Arial"/>
          <w:bCs/>
          <w:sz w:val="24"/>
          <w:szCs w:val="24"/>
        </w:rPr>
        <w:t xml:space="preserve">, </w:t>
      </w:r>
      <w:r>
        <w:rPr>
          <w:rFonts w:ascii="Arial" w:eastAsia="Calibri" w:hAnsi="Arial" w:cs="Arial"/>
          <w:bCs/>
          <w:sz w:val="24"/>
          <w:szCs w:val="24"/>
          <w:lang w:val="es-MX"/>
        </w:rPr>
        <w:t xml:space="preserve">que es del tenor siguiente: </w:t>
      </w:r>
    </w:p>
    <w:p w:rsidR="0034425A" w:rsidRPr="00344389" w:rsidRDefault="0034425A" w:rsidP="0034425A">
      <w:pPr>
        <w:spacing w:after="0"/>
        <w:ind w:right="566"/>
        <w:jc w:val="both"/>
        <w:rPr>
          <w:rFonts w:ascii="Arial" w:eastAsia="Calibri" w:hAnsi="Arial" w:cs="Arial"/>
          <w:bCs/>
          <w:sz w:val="24"/>
          <w:szCs w:val="24"/>
          <w:lang w:val="es-MX"/>
        </w:rPr>
      </w:pPr>
    </w:p>
    <w:p w:rsidR="00E37FB4" w:rsidRDefault="00583D7A" w:rsidP="00E37FB4">
      <w:pPr>
        <w:ind w:left="567"/>
        <w:jc w:val="both"/>
        <w:rPr>
          <w:rFonts w:ascii="Arial" w:hAnsi="Arial" w:cs="Arial"/>
        </w:rPr>
      </w:pPr>
      <w:r w:rsidRPr="00165ADC">
        <w:rPr>
          <w:rFonts w:ascii="Arial" w:eastAsia="Calibri" w:hAnsi="Arial" w:cs="Arial"/>
          <w:b/>
          <w:bCs/>
          <w:lang w:val="es-MX"/>
        </w:rPr>
        <w:t>“…</w:t>
      </w:r>
      <w:r w:rsidR="00B725A3">
        <w:rPr>
          <w:rFonts w:ascii="Arial" w:eastAsia="Calibri" w:hAnsi="Arial" w:cs="Arial"/>
          <w:b/>
          <w:bCs/>
          <w:lang w:val="es-MX"/>
        </w:rPr>
        <w:t xml:space="preserve"> </w:t>
      </w:r>
      <w:r w:rsidR="00B725A3">
        <w:rPr>
          <w:rFonts w:ascii="Arial" w:hAnsi="Arial" w:cs="Arial"/>
        </w:rPr>
        <w:t>En Sesión Ordinaria celebrada por el Honorable Pleno del Supremo Tribunal de Justicia en el Estado</w:t>
      </w:r>
      <w:r w:rsidR="00E37FB4">
        <w:rPr>
          <w:rFonts w:ascii="Arial" w:hAnsi="Arial" w:cs="Arial"/>
        </w:rPr>
        <w:t>, el día 26 de marzo de 2019, por unanimidad, se acordó la emisión y difusión de la presente circular, en base a los siguientes</w:t>
      </w:r>
    </w:p>
    <w:p w:rsidR="00E37FB4" w:rsidRDefault="00E37FB4" w:rsidP="00E37FB4">
      <w:pPr>
        <w:ind w:left="567"/>
        <w:jc w:val="center"/>
        <w:rPr>
          <w:rFonts w:ascii="Arial" w:eastAsia="Calibri" w:hAnsi="Arial" w:cs="Arial"/>
          <w:b/>
          <w:bCs/>
          <w:lang w:val="es-MX"/>
        </w:rPr>
      </w:pPr>
      <w:r>
        <w:rPr>
          <w:rFonts w:ascii="Arial" w:eastAsia="Calibri" w:hAnsi="Arial" w:cs="Arial"/>
          <w:b/>
          <w:bCs/>
          <w:lang w:val="es-MX"/>
        </w:rPr>
        <w:t>CONSIDERANDOS</w:t>
      </w:r>
    </w:p>
    <w:p w:rsidR="00E37FB4" w:rsidRPr="00E37FB4" w:rsidRDefault="00E37FB4" w:rsidP="00E37FB4">
      <w:pPr>
        <w:pStyle w:val="Prrafodelista"/>
        <w:numPr>
          <w:ilvl w:val="0"/>
          <w:numId w:val="1"/>
        </w:numPr>
        <w:jc w:val="both"/>
        <w:rPr>
          <w:rFonts w:ascii="Arial" w:hAnsi="Arial" w:cs="Arial"/>
          <w:b/>
          <w:u w:val="single"/>
        </w:rPr>
      </w:pPr>
      <w:r>
        <w:rPr>
          <w:rFonts w:ascii="Arial" w:hAnsi="Arial" w:cs="Arial"/>
        </w:rPr>
        <w:t xml:space="preserve">El artículo 13 de la Ley Orgánica del Poder Judicial del Estado, establece que los </w:t>
      </w:r>
      <w:r w:rsidR="00015325">
        <w:rPr>
          <w:rFonts w:ascii="Arial" w:hAnsi="Arial" w:cs="Arial"/>
        </w:rPr>
        <w:t xml:space="preserve">Servidores Públicos </w:t>
      </w:r>
      <w:r>
        <w:rPr>
          <w:rFonts w:ascii="Arial" w:hAnsi="Arial" w:cs="Arial"/>
        </w:rPr>
        <w:t xml:space="preserve">del </w:t>
      </w:r>
      <w:r w:rsidR="00015325">
        <w:rPr>
          <w:rFonts w:ascii="Arial" w:hAnsi="Arial" w:cs="Arial"/>
        </w:rPr>
        <w:t>Poder Judicial</w:t>
      </w:r>
      <w:r>
        <w:rPr>
          <w:rFonts w:ascii="Arial" w:hAnsi="Arial" w:cs="Arial"/>
        </w:rPr>
        <w:t xml:space="preserve">, disfrutaran anualmente de dos periodos de vacaciones con goce de sueldo, además, el numeral 16 del Reglamento del Supremo Tribunal de Justicia, refiere que el Pleno </w:t>
      </w:r>
      <w:r w:rsidR="00015325">
        <w:rPr>
          <w:rFonts w:ascii="Arial" w:hAnsi="Arial" w:cs="Arial"/>
        </w:rPr>
        <w:t>establecerá</w:t>
      </w:r>
      <w:r>
        <w:rPr>
          <w:rFonts w:ascii="Arial" w:hAnsi="Arial" w:cs="Arial"/>
        </w:rPr>
        <w:t xml:space="preserve"> anualmente un periodo de </w:t>
      </w:r>
      <w:r w:rsidR="00015325">
        <w:rPr>
          <w:rFonts w:ascii="Arial" w:hAnsi="Arial" w:cs="Arial"/>
        </w:rPr>
        <w:t>descanso</w:t>
      </w:r>
      <w:r>
        <w:rPr>
          <w:rFonts w:ascii="Arial" w:hAnsi="Arial" w:cs="Arial"/>
        </w:rPr>
        <w:t xml:space="preserve"> a los </w:t>
      </w:r>
      <w:r w:rsidR="00015325">
        <w:rPr>
          <w:rFonts w:ascii="Arial" w:hAnsi="Arial" w:cs="Arial"/>
        </w:rPr>
        <w:t xml:space="preserve">Servidores Públicos </w:t>
      </w:r>
      <w:r>
        <w:rPr>
          <w:rFonts w:ascii="Arial" w:hAnsi="Arial" w:cs="Arial"/>
        </w:rPr>
        <w:t xml:space="preserve">del </w:t>
      </w:r>
      <w:r w:rsidR="00015325">
        <w:rPr>
          <w:rFonts w:ascii="Arial" w:hAnsi="Arial" w:cs="Arial"/>
        </w:rPr>
        <w:t>Tribunal</w:t>
      </w:r>
      <w:r>
        <w:rPr>
          <w:rFonts w:ascii="Arial" w:hAnsi="Arial" w:cs="Arial"/>
        </w:rPr>
        <w:t>, que deberá ser a principios del mes de mayo.</w:t>
      </w:r>
    </w:p>
    <w:p w:rsidR="00E37FB4" w:rsidRPr="00E37FB4" w:rsidRDefault="00E37FB4" w:rsidP="00E37FB4">
      <w:pPr>
        <w:pStyle w:val="Prrafodelista"/>
        <w:ind w:left="1287"/>
        <w:jc w:val="both"/>
        <w:rPr>
          <w:rFonts w:ascii="Arial" w:hAnsi="Arial" w:cs="Arial"/>
          <w:b/>
          <w:u w:val="single"/>
        </w:rPr>
      </w:pPr>
    </w:p>
    <w:p w:rsidR="00E37FB4" w:rsidRPr="00E37FB4" w:rsidRDefault="00E37FB4" w:rsidP="00E37FB4">
      <w:pPr>
        <w:pStyle w:val="Prrafodelista"/>
        <w:numPr>
          <w:ilvl w:val="0"/>
          <w:numId w:val="1"/>
        </w:numPr>
        <w:jc w:val="both"/>
        <w:rPr>
          <w:rFonts w:ascii="Arial" w:hAnsi="Arial" w:cs="Arial"/>
          <w:b/>
          <w:u w:val="single"/>
        </w:rPr>
      </w:pPr>
      <w:r>
        <w:rPr>
          <w:rFonts w:ascii="Arial" w:hAnsi="Arial" w:cs="Arial"/>
        </w:rPr>
        <w:t xml:space="preserve">Asimismo, en Sesión del Honorable Pleno del Supremo Tribunal de Justicia, celebrara el </w:t>
      </w:r>
      <w:r w:rsidR="00015325">
        <w:rPr>
          <w:rFonts w:ascii="Arial" w:hAnsi="Arial" w:cs="Arial"/>
        </w:rPr>
        <w:t>día</w:t>
      </w:r>
      <w:r>
        <w:rPr>
          <w:rFonts w:ascii="Arial" w:hAnsi="Arial" w:cs="Arial"/>
        </w:rPr>
        <w:t xml:space="preserve"> 22 de enero del año en curso, se </w:t>
      </w:r>
      <w:r w:rsidR="00015325">
        <w:rPr>
          <w:rFonts w:ascii="Arial" w:hAnsi="Arial" w:cs="Arial"/>
        </w:rPr>
        <w:t>autorizó</w:t>
      </w:r>
      <w:r>
        <w:rPr>
          <w:rFonts w:ascii="Arial" w:hAnsi="Arial" w:cs="Arial"/>
        </w:rPr>
        <w:t xml:space="preserve"> el calendario de días inhábiles por la Ley y los días que se inhabilitaron para el año 2019.</w:t>
      </w:r>
    </w:p>
    <w:p w:rsidR="00E37FB4" w:rsidRPr="00E37FB4" w:rsidRDefault="00E37FB4" w:rsidP="00E37FB4">
      <w:pPr>
        <w:pStyle w:val="Prrafodelista"/>
        <w:rPr>
          <w:rFonts w:ascii="Arial" w:hAnsi="Arial" w:cs="Arial"/>
          <w:b/>
          <w:u w:val="single"/>
        </w:rPr>
      </w:pPr>
    </w:p>
    <w:p w:rsidR="00E37FB4" w:rsidRPr="00E37FB4" w:rsidRDefault="00E37FB4" w:rsidP="00E37FB4">
      <w:pPr>
        <w:pStyle w:val="Prrafodelista"/>
        <w:ind w:left="1287"/>
        <w:jc w:val="both"/>
        <w:rPr>
          <w:rFonts w:ascii="Arial" w:hAnsi="Arial" w:cs="Arial"/>
          <w:b/>
          <w:u w:val="single"/>
        </w:rPr>
      </w:pPr>
    </w:p>
    <w:p w:rsidR="002B2AD0" w:rsidRPr="002B2AD0" w:rsidRDefault="00E37FB4" w:rsidP="00E37FB4">
      <w:pPr>
        <w:pStyle w:val="Prrafodelista"/>
        <w:numPr>
          <w:ilvl w:val="0"/>
          <w:numId w:val="1"/>
        </w:numPr>
        <w:jc w:val="both"/>
        <w:rPr>
          <w:rFonts w:ascii="Arial" w:hAnsi="Arial" w:cs="Arial"/>
          <w:b/>
          <w:u w:val="single"/>
        </w:rPr>
      </w:pPr>
      <w:r>
        <w:rPr>
          <w:rFonts w:ascii="Arial" w:hAnsi="Arial" w:cs="Arial"/>
        </w:rPr>
        <w:t xml:space="preserve">Al estar en funciones los </w:t>
      </w:r>
      <w:r w:rsidR="00015325">
        <w:rPr>
          <w:rFonts w:ascii="Arial" w:hAnsi="Arial" w:cs="Arial"/>
        </w:rPr>
        <w:t xml:space="preserve">Juzgados </w:t>
      </w:r>
      <w:r>
        <w:rPr>
          <w:rFonts w:ascii="Arial" w:hAnsi="Arial" w:cs="Arial"/>
        </w:rPr>
        <w:t xml:space="preserve">de </w:t>
      </w:r>
      <w:r w:rsidR="00015325">
        <w:rPr>
          <w:rFonts w:ascii="Arial" w:hAnsi="Arial" w:cs="Arial"/>
        </w:rPr>
        <w:t xml:space="preserve">Control </w:t>
      </w:r>
      <w:r>
        <w:rPr>
          <w:rFonts w:ascii="Arial" w:hAnsi="Arial" w:cs="Arial"/>
        </w:rPr>
        <w:t xml:space="preserve">y </w:t>
      </w:r>
      <w:r w:rsidR="00015325">
        <w:rPr>
          <w:rFonts w:ascii="Arial" w:hAnsi="Arial" w:cs="Arial"/>
        </w:rPr>
        <w:t xml:space="preserve">Juicio Oral </w:t>
      </w:r>
      <w:r>
        <w:rPr>
          <w:rFonts w:ascii="Arial" w:hAnsi="Arial" w:cs="Arial"/>
        </w:rPr>
        <w:t xml:space="preserve">de los doce </w:t>
      </w:r>
      <w:r w:rsidR="00015325">
        <w:rPr>
          <w:rFonts w:ascii="Arial" w:hAnsi="Arial" w:cs="Arial"/>
        </w:rPr>
        <w:t xml:space="preserve">Distritos </w:t>
      </w:r>
      <w:r>
        <w:rPr>
          <w:rFonts w:ascii="Arial" w:hAnsi="Arial" w:cs="Arial"/>
        </w:rPr>
        <w:t xml:space="preserve">que conforman el </w:t>
      </w:r>
      <w:r w:rsidR="00015325">
        <w:rPr>
          <w:rFonts w:ascii="Arial" w:hAnsi="Arial" w:cs="Arial"/>
        </w:rPr>
        <w:t xml:space="preserve">Estado </w:t>
      </w:r>
      <w:r>
        <w:rPr>
          <w:rFonts w:ascii="Arial" w:hAnsi="Arial" w:cs="Arial"/>
        </w:rPr>
        <w:t xml:space="preserve">de </w:t>
      </w:r>
      <w:r w:rsidR="002B2AD0">
        <w:rPr>
          <w:rFonts w:ascii="Arial" w:hAnsi="Arial" w:cs="Arial"/>
        </w:rPr>
        <w:t xml:space="preserve">Jalisco, comienza la aplicación del </w:t>
      </w:r>
      <w:r w:rsidR="00015325">
        <w:rPr>
          <w:rFonts w:ascii="Arial" w:hAnsi="Arial" w:cs="Arial"/>
        </w:rPr>
        <w:t xml:space="preserve">Nuevo Sistema </w:t>
      </w:r>
      <w:r w:rsidR="002B2AD0">
        <w:rPr>
          <w:rFonts w:ascii="Arial" w:hAnsi="Arial" w:cs="Arial"/>
        </w:rPr>
        <w:t xml:space="preserve">de </w:t>
      </w:r>
      <w:r w:rsidR="00015325">
        <w:rPr>
          <w:rFonts w:ascii="Arial" w:hAnsi="Arial" w:cs="Arial"/>
        </w:rPr>
        <w:t>Justicia Penal Adversarial, y con ello se estipulan trá</w:t>
      </w:r>
      <w:r w:rsidR="002B2AD0">
        <w:rPr>
          <w:rFonts w:ascii="Arial" w:hAnsi="Arial" w:cs="Arial"/>
        </w:rPr>
        <w:t xml:space="preserve">mites de carácter urgente, de conformidad con el </w:t>
      </w:r>
      <w:r w:rsidR="00015325">
        <w:rPr>
          <w:rFonts w:ascii="Arial" w:hAnsi="Arial" w:cs="Arial"/>
        </w:rPr>
        <w:t xml:space="preserve">Código Nacional </w:t>
      </w:r>
      <w:r w:rsidR="002B2AD0">
        <w:rPr>
          <w:rFonts w:ascii="Arial" w:hAnsi="Arial" w:cs="Arial"/>
        </w:rPr>
        <w:t xml:space="preserve">de </w:t>
      </w:r>
      <w:r w:rsidR="00015325">
        <w:rPr>
          <w:rFonts w:ascii="Arial" w:hAnsi="Arial" w:cs="Arial"/>
        </w:rPr>
        <w:t>Procedimientos Penales</w:t>
      </w:r>
      <w:r w:rsidR="002B2AD0">
        <w:rPr>
          <w:rFonts w:ascii="Arial" w:hAnsi="Arial" w:cs="Arial"/>
        </w:rPr>
        <w:t>.</w:t>
      </w:r>
    </w:p>
    <w:p w:rsidR="002B2AD0" w:rsidRPr="002B2AD0" w:rsidRDefault="002B2AD0" w:rsidP="00E37FB4">
      <w:pPr>
        <w:pStyle w:val="Prrafodelista"/>
        <w:numPr>
          <w:ilvl w:val="0"/>
          <w:numId w:val="1"/>
        </w:numPr>
        <w:jc w:val="both"/>
        <w:rPr>
          <w:rFonts w:ascii="Arial" w:hAnsi="Arial" w:cs="Arial"/>
          <w:b/>
          <w:u w:val="single"/>
        </w:rPr>
      </w:pPr>
      <w:r>
        <w:rPr>
          <w:rFonts w:ascii="Arial" w:hAnsi="Arial" w:cs="Arial"/>
        </w:rPr>
        <w:lastRenderedPageBreak/>
        <w:t xml:space="preserve">Luego, con fundamento en lo dispuesto por el </w:t>
      </w:r>
      <w:r w:rsidR="00015325">
        <w:rPr>
          <w:rFonts w:ascii="Arial" w:hAnsi="Arial" w:cs="Arial"/>
        </w:rPr>
        <w:t>artículo</w:t>
      </w:r>
      <w:r>
        <w:rPr>
          <w:rFonts w:ascii="Arial" w:hAnsi="Arial" w:cs="Arial"/>
        </w:rPr>
        <w:t xml:space="preserve"> 12 de la </w:t>
      </w:r>
      <w:r w:rsidR="00015325">
        <w:rPr>
          <w:rFonts w:ascii="Arial" w:hAnsi="Arial" w:cs="Arial"/>
        </w:rPr>
        <w:t xml:space="preserve">Ley Orgánica </w:t>
      </w:r>
      <w:r>
        <w:rPr>
          <w:rFonts w:ascii="Arial" w:hAnsi="Arial" w:cs="Arial"/>
        </w:rPr>
        <w:t xml:space="preserve">del </w:t>
      </w:r>
      <w:r w:rsidR="00015325">
        <w:rPr>
          <w:rFonts w:ascii="Arial" w:hAnsi="Arial" w:cs="Arial"/>
        </w:rPr>
        <w:t xml:space="preserve">Poder </w:t>
      </w:r>
      <w:r w:rsidR="00C14F0A">
        <w:rPr>
          <w:rFonts w:ascii="Arial" w:hAnsi="Arial" w:cs="Arial"/>
        </w:rPr>
        <w:t xml:space="preserve">Judicial </w:t>
      </w:r>
      <w:r>
        <w:rPr>
          <w:rFonts w:ascii="Arial" w:hAnsi="Arial" w:cs="Arial"/>
        </w:rPr>
        <w:t xml:space="preserve">del </w:t>
      </w:r>
      <w:r w:rsidR="00C14F0A">
        <w:rPr>
          <w:rFonts w:ascii="Arial" w:hAnsi="Arial" w:cs="Arial"/>
        </w:rPr>
        <w:t xml:space="preserve">Estado </w:t>
      </w:r>
      <w:r>
        <w:rPr>
          <w:rFonts w:ascii="Arial" w:hAnsi="Arial" w:cs="Arial"/>
        </w:rPr>
        <w:t xml:space="preserve">de Jalisco, el cual dispone que la administración de justicia se realizara en la forma y términos que señalan las leyes respectivas y 23 de la ley invocada, en concordancia con el 16 del </w:t>
      </w:r>
      <w:r w:rsidR="00C14F0A">
        <w:rPr>
          <w:rFonts w:ascii="Arial" w:hAnsi="Arial" w:cs="Arial"/>
        </w:rPr>
        <w:t xml:space="preserve">Reglamento </w:t>
      </w:r>
      <w:r>
        <w:rPr>
          <w:rFonts w:ascii="Arial" w:hAnsi="Arial" w:cs="Arial"/>
        </w:rPr>
        <w:t xml:space="preserve">del </w:t>
      </w:r>
      <w:r w:rsidR="00C14F0A">
        <w:rPr>
          <w:rFonts w:ascii="Arial" w:hAnsi="Arial" w:cs="Arial"/>
        </w:rPr>
        <w:t xml:space="preserve">Supremo Tribunal </w:t>
      </w:r>
      <w:r>
        <w:rPr>
          <w:rFonts w:ascii="Arial" w:hAnsi="Arial" w:cs="Arial"/>
        </w:rPr>
        <w:t xml:space="preserve">de </w:t>
      </w:r>
      <w:r w:rsidR="00C14F0A">
        <w:rPr>
          <w:rFonts w:ascii="Arial" w:hAnsi="Arial" w:cs="Arial"/>
        </w:rPr>
        <w:t>Justicia</w:t>
      </w:r>
      <w:r>
        <w:rPr>
          <w:rFonts w:ascii="Arial" w:hAnsi="Arial" w:cs="Arial"/>
        </w:rPr>
        <w:t xml:space="preserve">, </w:t>
      </w:r>
      <w:r w:rsidR="00C14F0A">
        <w:rPr>
          <w:rFonts w:ascii="Arial" w:hAnsi="Arial" w:cs="Arial"/>
        </w:rPr>
        <w:t>así</w:t>
      </w:r>
      <w:r>
        <w:rPr>
          <w:rFonts w:ascii="Arial" w:hAnsi="Arial" w:cs="Arial"/>
        </w:rPr>
        <w:t xml:space="preserve"> como 55 del </w:t>
      </w:r>
      <w:r w:rsidR="00C14F0A">
        <w:rPr>
          <w:rFonts w:ascii="Arial" w:hAnsi="Arial" w:cs="Arial"/>
        </w:rPr>
        <w:t xml:space="preserve">Enjuiciamiento Civil </w:t>
      </w:r>
      <w:r>
        <w:rPr>
          <w:rFonts w:ascii="Arial" w:hAnsi="Arial" w:cs="Arial"/>
        </w:rPr>
        <w:t xml:space="preserve">del </w:t>
      </w:r>
      <w:r w:rsidR="00C14F0A">
        <w:rPr>
          <w:rFonts w:ascii="Arial" w:hAnsi="Arial" w:cs="Arial"/>
        </w:rPr>
        <w:t xml:space="preserve">Estado </w:t>
      </w:r>
      <w:r>
        <w:rPr>
          <w:rFonts w:ascii="Arial" w:hAnsi="Arial" w:cs="Arial"/>
        </w:rPr>
        <w:t xml:space="preserve">y 9 del </w:t>
      </w:r>
      <w:r w:rsidR="00C14F0A">
        <w:rPr>
          <w:rFonts w:ascii="Arial" w:hAnsi="Arial" w:cs="Arial"/>
        </w:rPr>
        <w:t xml:space="preserve">Código </w:t>
      </w:r>
      <w:r>
        <w:rPr>
          <w:rFonts w:ascii="Arial" w:hAnsi="Arial" w:cs="Arial"/>
        </w:rPr>
        <w:t xml:space="preserve">de </w:t>
      </w:r>
      <w:r w:rsidR="00C14F0A">
        <w:rPr>
          <w:rFonts w:ascii="Arial" w:hAnsi="Arial" w:cs="Arial"/>
        </w:rPr>
        <w:t xml:space="preserve">Procedimientos Penales </w:t>
      </w:r>
      <w:r>
        <w:rPr>
          <w:rFonts w:ascii="Arial" w:hAnsi="Arial" w:cs="Arial"/>
        </w:rPr>
        <w:t xml:space="preserve">de la </w:t>
      </w:r>
      <w:r w:rsidR="00C14F0A">
        <w:rPr>
          <w:rFonts w:ascii="Arial" w:hAnsi="Arial" w:cs="Arial"/>
        </w:rPr>
        <w:t>Entidad</w:t>
      </w:r>
      <w:r>
        <w:rPr>
          <w:rFonts w:ascii="Arial" w:hAnsi="Arial" w:cs="Arial"/>
        </w:rPr>
        <w:t>, se expide la siguiente</w:t>
      </w:r>
    </w:p>
    <w:p w:rsidR="002B2AD0" w:rsidRDefault="002B2AD0" w:rsidP="002B2AD0">
      <w:pPr>
        <w:pStyle w:val="Prrafodelista"/>
        <w:ind w:left="1287"/>
        <w:jc w:val="both"/>
        <w:rPr>
          <w:rFonts w:ascii="Arial" w:hAnsi="Arial" w:cs="Arial"/>
        </w:rPr>
      </w:pPr>
    </w:p>
    <w:p w:rsidR="002B2AD0" w:rsidRDefault="002B2AD0" w:rsidP="002B2AD0">
      <w:pPr>
        <w:pStyle w:val="Prrafodelista"/>
        <w:ind w:left="1287"/>
        <w:jc w:val="center"/>
        <w:rPr>
          <w:rFonts w:ascii="Arial" w:hAnsi="Arial" w:cs="Arial"/>
          <w:b/>
        </w:rPr>
      </w:pPr>
      <w:r w:rsidRPr="002B2AD0">
        <w:rPr>
          <w:rFonts w:ascii="Arial" w:hAnsi="Arial" w:cs="Arial"/>
          <w:b/>
        </w:rPr>
        <w:t>CIRCULAR</w:t>
      </w:r>
    </w:p>
    <w:p w:rsidR="00C14F0A" w:rsidRDefault="00C14F0A" w:rsidP="002B2AD0">
      <w:pPr>
        <w:pStyle w:val="Prrafodelista"/>
        <w:ind w:left="1287"/>
        <w:jc w:val="center"/>
        <w:rPr>
          <w:rFonts w:ascii="Arial" w:hAnsi="Arial" w:cs="Arial"/>
        </w:rPr>
      </w:pPr>
    </w:p>
    <w:p w:rsidR="002757CE" w:rsidRDefault="002B2AD0" w:rsidP="004F458E">
      <w:pPr>
        <w:pStyle w:val="Prrafodelista"/>
        <w:tabs>
          <w:tab w:val="center" w:pos="5062"/>
        </w:tabs>
        <w:ind w:left="567"/>
        <w:jc w:val="both"/>
        <w:rPr>
          <w:rFonts w:ascii="Arial" w:hAnsi="Arial" w:cs="Arial"/>
          <w:u w:val="single"/>
        </w:rPr>
      </w:pPr>
      <w:r w:rsidRPr="002757CE">
        <w:rPr>
          <w:rFonts w:ascii="Arial" w:hAnsi="Arial" w:cs="Arial"/>
          <w:b/>
        </w:rPr>
        <w:t>PRIMERO.-</w:t>
      </w:r>
      <w:r>
        <w:rPr>
          <w:rFonts w:ascii="Arial" w:hAnsi="Arial" w:cs="Arial"/>
        </w:rPr>
        <w:t xml:space="preserve"> Se aprueba el periodo de descanso para los servidores públicos del supremo tribunal de justicia, a partir del </w:t>
      </w:r>
      <w:r w:rsidRPr="002757CE">
        <w:rPr>
          <w:rFonts w:ascii="Arial" w:hAnsi="Arial" w:cs="Arial"/>
          <w:b/>
          <w:u w:val="single"/>
        </w:rPr>
        <w:t xml:space="preserve">1 al 10 de mayo del año 2019, inclusive debiendo reintegrarse a laborar el </w:t>
      </w:r>
      <w:proofErr w:type="spellStart"/>
      <w:r w:rsidRPr="002757CE">
        <w:rPr>
          <w:rFonts w:ascii="Arial" w:hAnsi="Arial" w:cs="Arial"/>
          <w:b/>
          <w:u w:val="single"/>
        </w:rPr>
        <w:t>dia</w:t>
      </w:r>
      <w:proofErr w:type="spellEnd"/>
      <w:r w:rsidRPr="002757CE">
        <w:rPr>
          <w:rFonts w:ascii="Arial" w:hAnsi="Arial" w:cs="Arial"/>
          <w:b/>
          <w:u w:val="single"/>
        </w:rPr>
        <w:t xml:space="preserve"> 13 de mayo del año en curso</w:t>
      </w:r>
      <w:r>
        <w:rPr>
          <w:rFonts w:ascii="Arial" w:hAnsi="Arial" w:cs="Arial"/>
          <w:u w:val="single"/>
        </w:rPr>
        <w:t>.</w:t>
      </w:r>
    </w:p>
    <w:p w:rsidR="002757CE" w:rsidRDefault="002757CE" w:rsidP="004F458E">
      <w:pPr>
        <w:pStyle w:val="Prrafodelista"/>
        <w:tabs>
          <w:tab w:val="center" w:pos="5062"/>
        </w:tabs>
        <w:ind w:left="567"/>
        <w:rPr>
          <w:rFonts w:ascii="Arial" w:hAnsi="Arial" w:cs="Arial"/>
        </w:rPr>
      </w:pPr>
    </w:p>
    <w:p w:rsidR="002757CE" w:rsidRDefault="002757CE" w:rsidP="004F458E">
      <w:pPr>
        <w:pStyle w:val="Prrafodelista"/>
        <w:tabs>
          <w:tab w:val="center" w:pos="5062"/>
        </w:tabs>
        <w:ind w:left="567"/>
        <w:jc w:val="both"/>
        <w:rPr>
          <w:rFonts w:ascii="Arial" w:hAnsi="Arial" w:cs="Arial"/>
        </w:rPr>
      </w:pPr>
      <w:r w:rsidRPr="002757CE">
        <w:rPr>
          <w:rFonts w:ascii="Arial" w:hAnsi="Arial" w:cs="Arial"/>
          <w:b/>
        </w:rPr>
        <w:t>SEGUNDO.-</w:t>
      </w:r>
      <w:r>
        <w:rPr>
          <w:rFonts w:ascii="Arial" w:hAnsi="Arial" w:cs="Arial"/>
        </w:rPr>
        <w:t xml:space="preserve"> Para efectos del </w:t>
      </w:r>
      <w:r w:rsidR="00C14F0A">
        <w:rPr>
          <w:rFonts w:ascii="Arial" w:hAnsi="Arial" w:cs="Arial"/>
        </w:rPr>
        <w:t>trámite</w:t>
      </w:r>
      <w:r>
        <w:rPr>
          <w:rFonts w:ascii="Arial" w:hAnsi="Arial" w:cs="Arial"/>
        </w:rPr>
        <w:t xml:space="preserve"> de apelaciones contra resoluciones emitidas por el juez de control, relativas a las que nieguen la prueba anticipada, la negativa de cateo, en contra de la negativa a la localización geográfica en tiempo real y solicitud de entrega de datos conservados; se determina que la </w:t>
      </w:r>
      <w:r w:rsidRPr="00C14F0A">
        <w:rPr>
          <w:rFonts w:ascii="Arial" w:hAnsi="Arial" w:cs="Arial"/>
          <w:b/>
        </w:rPr>
        <w:t>DECIMA SALA</w:t>
      </w:r>
      <w:r>
        <w:rPr>
          <w:rFonts w:ascii="Arial" w:hAnsi="Arial" w:cs="Arial"/>
        </w:rPr>
        <w:t xml:space="preserve"> y personal que se requiera de la </w:t>
      </w:r>
      <w:r w:rsidR="00C14F0A">
        <w:rPr>
          <w:rFonts w:ascii="Arial" w:hAnsi="Arial" w:cs="Arial"/>
        </w:rPr>
        <w:t xml:space="preserve">Secretaria General </w:t>
      </w:r>
      <w:r>
        <w:rPr>
          <w:rFonts w:ascii="Arial" w:hAnsi="Arial" w:cs="Arial"/>
        </w:rPr>
        <w:t xml:space="preserve">de </w:t>
      </w:r>
      <w:r w:rsidR="00C14F0A">
        <w:rPr>
          <w:rFonts w:ascii="Arial" w:hAnsi="Arial" w:cs="Arial"/>
        </w:rPr>
        <w:t xml:space="preserve">Acuerdos </w:t>
      </w:r>
      <w:r>
        <w:rPr>
          <w:rFonts w:ascii="Arial" w:hAnsi="Arial" w:cs="Arial"/>
        </w:rPr>
        <w:t xml:space="preserve">y </w:t>
      </w:r>
      <w:r w:rsidR="00C14F0A">
        <w:rPr>
          <w:rFonts w:ascii="Arial" w:hAnsi="Arial" w:cs="Arial"/>
        </w:rPr>
        <w:t xml:space="preserve">Oficialía Mayor </w:t>
      </w:r>
      <w:r>
        <w:rPr>
          <w:rFonts w:ascii="Arial" w:hAnsi="Arial" w:cs="Arial"/>
        </w:rPr>
        <w:t xml:space="preserve">de este </w:t>
      </w:r>
      <w:r w:rsidR="00C14F0A">
        <w:rPr>
          <w:rFonts w:ascii="Arial" w:hAnsi="Arial" w:cs="Arial"/>
        </w:rPr>
        <w:t>Tribunal</w:t>
      </w:r>
      <w:r>
        <w:rPr>
          <w:rFonts w:ascii="Arial" w:hAnsi="Arial" w:cs="Arial"/>
        </w:rPr>
        <w:t xml:space="preserve">, </w:t>
      </w:r>
      <w:r w:rsidR="00C14F0A">
        <w:rPr>
          <w:rFonts w:ascii="Arial" w:hAnsi="Arial" w:cs="Arial"/>
        </w:rPr>
        <w:t xml:space="preserve">permanecerán </w:t>
      </w:r>
      <w:r>
        <w:rPr>
          <w:rFonts w:ascii="Arial" w:hAnsi="Arial" w:cs="Arial"/>
        </w:rPr>
        <w:t>de guardia, para conocer exclusivamente de dichos asuntos.</w:t>
      </w:r>
    </w:p>
    <w:p w:rsidR="002757CE" w:rsidRDefault="002757CE" w:rsidP="004F458E">
      <w:pPr>
        <w:pStyle w:val="Prrafodelista"/>
        <w:tabs>
          <w:tab w:val="center" w:pos="5062"/>
        </w:tabs>
        <w:ind w:left="567"/>
        <w:jc w:val="both"/>
        <w:rPr>
          <w:rFonts w:ascii="Arial" w:hAnsi="Arial" w:cs="Arial"/>
        </w:rPr>
      </w:pPr>
      <w:r w:rsidRPr="002757CE">
        <w:rPr>
          <w:rFonts w:ascii="Arial" w:hAnsi="Arial" w:cs="Arial"/>
        </w:rPr>
        <w:t xml:space="preserve">Posteriormente, los </w:t>
      </w:r>
      <w:r w:rsidR="00C14F0A" w:rsidRPr="002757CE">
        <w:rPr>
          <w:rFonts w:ascii="Arial" w:hAnsi="Arial" w:cs="Arial"/>
        </w:rPr>
        <w:t>Magistrado</w:t>
      </w:r>
      <w:r w:rsidR="00C14F0A">
        <w:rPr>
          <w:rFonts w:ascii="Arial" w:hAnsi="Arial" w:cs="Arial"/>
        </w:rPr>
        <w:t xml:space="preserve">s </w:t>
      </w:r>
      <w:r>
        <w:rPr>
          <w:rFonts w:ascii="Arial" w:hAnsi="Arial" w:cs="Arial"/>
        </w:rPr>
        <w:t>y personal de guardia, harán uso de su periodo vacacional, de manera escalonada.</w:t>
      </w:r>
    </w:p>
    <w:p w:rsidR="002757CE" w:rsidRDefault="002757CE" w:rsidP="004F458E">
      <w:pPr>
        <w:pStyle w:val="Prrafodelista"/>
        <w:tabs>
          <w:tab w:val="center" w:pos="5062"/>
        </w:tabs>
        <w:ind w:left="567"/>
        <w:jc w:val="both"/>
        <w:rPr>
          <w:rFonts w:ascii="Arial" w:hAnsi="Arial" w:cs="Arial"/>
        </w:rPr>
      </w:pPr>
    </w:p>
    <w:p w:rsidR="002757CE" w:rsidRDefault="002757CE" w:rsidP="004F458E">
      <w:pPr>
        <w:pStyle w:val="Prrafodelista"/>
        <w:tabs>
          <w:tab w:val="center" w:pos="5062"/>
        </w:tabs>
        <w:ind w:left="567"/>
        <w:jc w:val="both"/>
        <w:rPr>
          <w:rFonts w:ascii="Arial" w:hAnsi="Arial" w:cs="Arial"/>
          <w:b/>
        </w:rPr>
      </w:pPr>
      <w:r w:rsidRPr="00C14F0A">
        <w:rPr>
          <w:rFonts w:ascii="Arial" w:hAnsi="Arial" w:cs="Arial"/>
          <w:b/>
        </w:rPr>
        <w:t>TERCERO.-</w:t>
      </w:r>
      <w:r>
        <w:rPr>
          <w:rFonts w:ascii="Arial" w:hAnsi="Arial" w:cs="Arial"/>
        </w:rPr>
        <w:t xml:space="preserve"> Durante los días indicados, con la excepción antes mencionada, se suspenden las labores en las </w:t>
      </w:r>
      <w:r w:rsidR="00C14F0A">
        <w:rPr>
          <w:rFonts w:ascii="Arial" w:hAnsi="Arial" w:cs="Arial"/>
        </w:rPr>
        <w:t xml:space="preserve">Salas </w:t>
      </w:r>
      <w:r>
        <w:rPr>
          <w:rFonts w:ascii="Arial" w:hAnsi="Arial" w:cs="Arial"/>
        </w:rPr>
        <w:t xml:space="preserve">y </w:t>
      </w:r>
      <w:r w:rsidR="00C14F0A">
        <w:rPr>
          <w:rFonts w:ascii="Arial" w:hAnsi="Arial" w:cs="Arial"/>
        </w:rPr>
        <w:t xml:space="preserve">Oficinas Administrativas </w:t>
      </w:r>
      <w:r>
        <w:rPr>
          <w:rFonts w:ascii="Arial" w:hAnsi="Arial" w:cs="Arial"/>
        </w:rPr>
        <w:t>que integr</w:t>
      </w:r>
      <w:r w:rsidR="00C14F0A">
        <w:rPr>
          <w:rFonts w:ascii="Arial" w:hAnsi="Arial" w:cs="Arial"/>
        </w:rPr>
        <w:t>an</w:t>
      </w:r>
      <w:r>
        <w:rPr>
          <w:rFonts w:ascii="Arial" w:hAnsi="Arial" w:cs="Arial"/>
        </w:rPr>
        <w:t xml:space="preserve"> este </w:t>
      </w:r>
      <w:r w:rsidR="00C14F0A">
        <w:rPr>
          <w:rFonts w:ascii="Arial" w:hAnsi="Arial" w:cs="Arial"/>
        </w:rPr>
        <w:t>Tribunal</w:t>
      </w:r>
      <w:r>
        <w:rPr>
          <w:rFonts w:ascii="Arial" w:hAnsi="Arial" w:cs="Arial"/>
        </w:rPr>
        <w:t xml:space="preserve">; por ende, también se </w:t>
      </w:r>
      <w:r>
        <w:rPr>
          <w:rFonts w:ascii="Arial" w:hAnsi="Arial" w:cs="Arial"/>
          <w:b/>
        </w:rPr>
        <w:t>suspenden los términos judiciales.</w:t>
      </w:r>
    </w:p>
    <w:p w:rsidR="002757CE" w:rsidRDefault="002757CE" w:rsidP="004F458E">
      <w:pPr>
        <w:pStyle w:val="Prrafodelista"/>
        <w:tabs>
          <w:tab w:val="center" w:pos="5062"/>
        </w:tabs>
        <w:ind w:left="567"/>
        <w:jc w:val="both"/>
        <w:rPr>
          <w:rFonts w:ascii="Arial" w:hAnsi="Arial" w:cs="Arial"/>
        </w:rPr>
      </w:pPr>
    </w:p>
    <w:p w:rsidR="00015325" w:rsidRDefault="002757CE" w:rsidP="004F458E">
      <w:pPr>
        <w:pStyle w:val="Prrafodelista"/>
        <w:tabs>
          <w:tab w:val="center" w:pos="5062"/>
        </w:tabs>
        <w:ind w:left="567"/>
        <w:jc w:val="both"/>
        <w:rPr>
          <w:rFonts w:ascii="Arial" w:hAnsi="Arial" w:cs="Arial"/>
        </w:rPr>
      </w:pPr>
      <w:r w:rsidRPr="00C14F0A">
        <w:rPr>
          <w:rFonts w:ascii="Arial" w:hAnsi="Arial" w:cs="Arial"/>
          <w:b/>
        </w:rPr>
        <w:t>CUARTO.-</w:t>
      </w:r>
      <w:r>
        <w:rPr>
          <w:rFonts w:ascii="Arial" w:hAnsi="Arial" w:cs="Arial"/>
        </w:rPr>
        <w:t xml:space="preserve"> No o</w:t>
      </w:r>
      <w:r w:rsidR="00015325">
        <w:rPr>
          <w:rFonts w:ascii="Arial" w:hAnsi="Arial" w:cs="Arial"/>
        </w:rPr>
        <w:t xml:space="preserve">bstante lo anterior, en caso de ser necesario el servicio de alguna </w:t>
      </w:r>
      <w:r w:rsidR="00C14F0A">
        <w:rPr>
          <w:rFonts w:ascii="Arial" w:hAnsi="Arial" w:cs="Arial"/>
        </w:rPr>
        <w:t>Oficina Administrativa</w:t>
      </w:r>
      <w:r w:rsidR="00015325">
        <w:rPr>
          <w:rFonts w:ascii="Arial" w:hAnsi="Arial" w:cs="Arial"/>
        </w:rPr>
        <w:t xml:space="preserve">, se mantendrá en funciones, previo acuerdo del </w:t>
      </w:r>
      <w:r w:rsidR="00C14F0A">
        <w:rPr>
          <w:rFonts w:ascii="Arial" w:hAnsi="Arial" w:cs="Arial"/>
        </w:rPr>
        <w:t xml:space="preserve">Presidente </w:t>
      </w:r>
      <w:r w:rsidR="00015325">
        <w:rPr>
          <w:rFonts w:ascii="Arial" w:hAnsi="Arial" w:cs="Arial"/>
        </w:rPr>
        <w:t xml:space="preserve">de este </w:t>
      </w:r>
      <w:r w:rsidR="00C14F0A">
        <w:rPr>
          <w:rFonts w:ascii="Arial" w:hAnsi="Arial" w:cs="Arial"/>
        </w:rPr>
        <w:t>Tribunal</w:t>
      </w:r>
      <w:r w:rsidR="00015325">
        <w:rPr>
          <w:rFonts w:ascii="Arial" w:hAnsi="Arial" w:cs="Arial"/>
        </w:rPr>
        <w:t xml:space="preserve">, con el </w:t>
      </w:r>
      <w:r w:rsidR="00C14F0A">
        <w:rPr>
          <w:rFonts w:ascii="Arial" w:hAnsi="Arial" w:cs="Arial"/>
        </w:rPr>
        <w:t xml:space="preserve">Titular </w:t>
      </w:r>
      <w:r w:rsidR="00015325">
        <w:rPr>
          <w:rFonts w:ascii="Arial" w:hAnsi="Arial" w:cs="Arial"/>
        </w:rPr>
        <w:t>del área respectiva.</w:t>
      </w:r>
    </w:p>
    <w:p w:rsidR="00015325" w:rsidRDefault="00015325" w:rsidP="004F458E">
      <w:pPr>
        <w:pStyle w:val="Prrafodelista"/>
        <w:tabs>
          <w:tab w:val="center" w:pos="5062"/>
        </w:tabs>
        <w:ind w:left="567"/>
        <w:jc w:val="both"/>
        <w:rPr>
          <w:rFonts w:ascii="Arial" w:hAnsi="Arial" w:cs="Arial"/>
        </w:rPr>
      </w:pPr>
    </w:p>
    <w:p w:rsidR="00180C1F" w:rsidRPr="00E37FB4" w:rsidRDefault="00015325" w:rsidP="004F458E">
      <w:pPr>
        <w:pStyle w:val="Prrafodelista"/>
        <w:tabs>
          <w:tab w:val="center" w:pos="5062"/>
        </w:tabs>
        <w:ind w:left="567"/>
        <w:jc w:val="both"/>
        <w:rPr>
          <w:rFonts w:ascii="Arial" w:hAnsi="Arial" w:cs="Arial"/>
          <w:b/>
          <w:u w:val="single"/>
        </w:rPr>
      </w:pPr>
      <w:r w:rsidRPr="00C14F0A">
        <w:rPr>
          <w:rFonts w:ascii="Arial" w:hAnsi="Arial" w:cs="Arial"/>
          <w:b/>
        </w:rPr>
        <w:t>QUINTO.-</w:t>
      </w:r>
      <w:r>
        <w:rPr>
          <w:rFonts w:ascii="Arial" w:hAnsi="Arial" w:cs="Arial"/>
        </w:rPr>
        <w:t xml:space="preserve"> Se ordena hacer del conocimiento de las </w:t>
      </w:r>
      <w:r w:rsidR="00C14F0A">
        <w:rPr>
          <w:rFonts w:ascii="Arial" w:hAnsi="Arial" w:cs="Arial"/>
        </w:rPr>
        <w:t>Autoridades</w:t>
      </w:r>
      <w:r>
        <w:rPr>
          <w:rFonts w:ascii="Arial" w:hAnsi="Arial" w:cs="Arial"/>
        </w:rPr>
        <w:t xml:space="preserve">, </w:t>
      </w:r>
      <w:r w:rsidR="00C14F0A">
        <w:rPr>
          <w:rFonts w:ascii="Arial" w:hAnsi="Arial" w:cs="Arial"/>
        </w:rPr>
        <w:t xml:space="preserve">Litigantes </w:t>
      </w:r>
      <w:r>
        <w:rPr>
          <w:rFonts w:ascii="Arial" w:hAnsi="Arial" w:cs="Arial"/>
        </w:rPr>
        <w:t xml:space="preserve">y </w:t>
      </w:r>
      <w:r w:rsidR="00C14F0A">
        <w:rPr>
          <w:rFonts w:ascii="Arial" w:hAnsi="Arial" w:cs="Arial"/>
        </w:rPr>
        <w:t xml:space="preserve">Público </w:t>
      </w:r>
      <w:r>
        <w:rPr>
          <w:rFonts w:ascii="Arial" w:hAnsi="Arial" w:cs="Arial"/>
        </w:rPr>
        <w:t xml:space="preserve">en </w:t>
      </w:r>
      <w:r w:rsidR="00C14F0A">
        <w:rPr>
          <w:rFonts w:ascii="Arial" w:hAnsi="Arial" w:cs="Arial"/>
        </w:rPr>
        <w:t>General</w:t>
      </w:r>
      <w:r>
        <w:rPr>
          <w:rFonts w:ascii="Arial" w:hAnsi="Arial" w:cs="Arial"/>
        </w:rPr>
        <w:t xml:space="preserve">, el contenido de la presente circular, mediante su publicación en el </w:t>
      </w:r>
      <w:r w:rsidR="00C14F0A">
        <w:rPr>
          <w:rFonts w:ascii="Arial" w:hAnsi="Arial" w:cs="Arial"/>
        </w:rPr>
        <w:t>Boletín Judicial</w:t>
      </w:r>
      <w:r>
        <w:rPr>
          <w:rFonts w:ascii="Arial" w:hAnsi="Arial" w:cs="Arial"/>
        </w:rPr>
        <w:t xml:space="preserve">, pagina web y en los estrados de las </w:t>
      </w:r>
      <w:r w:rsidR="00C14F0A">
        <w:rPr>
          <w:rFonts w:ascii="Arial" w:hAnsi="Arial" w:cs="Arial"/>
        </w:rPr>
        <w:t xml:space="preserve">Salas </w:t>
      </w:r>
      <w:r>
        <w:rPr>
          <w:rFonts w:ascii="Arial" w:hAnsi="Arial" w:cs="Arial"/>
        </w:rPr>
        <w:t xml:space="preserve">y </w:t>
      </w:r>
      <w:r w:rsidR="00C14F0A">
        <w:rPr>
          <w:rFonts w:ascii="Arial" w:hAnsi="Arial" w:cs="Arial"/>
        </w:rPr>
        <w:t xml:space="preserve">Secretaria General </w:t>
      </w:r>
      <w:r>
        <w:rPr>
          <w:rFonts w:ascii="Arial" w:hAnsi="Arial" w:cs="Arial"/>
        </w:rPr>
        <w:t xml:space="preserve">de </w:t>
      </w:r>
      <w:r w:rsidR="00C14F0A">
        <w:rPr>
          <w:rFonts w:ascii="Arial" w:hAnsi="Arial" w:cs="Arial"/>
        </w:rPr>
        <w:t>Acuerdos</w:t>
      </w:r>
      <w:r>
        <w:rPr>
          <w:rFonts w:ascii="Arial" w:hAnsi="Arial" w:cs="Arial"/>
        </w:rPr>
        <w:t xml:space="preserve">; lo anterior de conformidad con lo dispuesto en el digito 14 del </w:t>
      </w:r>
      <w:r w:rsidR="00C14F0A">
        <w:rPr>
          <w:rFonts w:ascii="Arial" w:hAnsi="Arial" w:cs="Arial"/>
        </w:rPr>
        <w:t>Reglamento d</w:t>
      </w:r>
      <w:r>
        <w:rPr>
          <w:rFonts w:ascii="Arial" w:hAnsi="Arial" w:cs="Arial"/>
        </w:rPr>
        <w:t xml:space="preserve">el </w:t>
      </w:r>
      <w:r w:rsidR="00C14F0A">
        <w:rPr>
          <w:rFonts w:ascii="Arial" w:hAnsi="Arial" w:cs="Arial"/>
        </w:rPr>
        <w:t xml:space="preserve">Supremo Tribunal </w:t>
      </w:r>
      <w:r>
        <w:rPr>
          <w:rFonts w:ascii="Arial" w:hAnsi="Arial" w:cs="Arial"/>
        </w:rPr>
        <w:t xml:space="preserve">de </w:t>
      </w:r>
      <w:r w:rsidR="00C14F0A">
        <w:rPr>
          <w:rFonts w:ascii="Arial" w:hAnsi="Arial" w:cs="Arial"/>
        </w:rPr>
        <w:t xml:space="preserve">Justicia </w:t>
      </w:r>
      <w:r>
        <w:rPr>
          <w:rFonts w:ascii="Arial" w:hAnsi="Arial" w:cs="Arial"/>
        </w:rPr>
        <w:t xml:space="preserve">del </w:t>
      </w:r>
      <w:r w:rsidR="00C14F0A">
        <w:rPr>
          <w:rFonts w:ascii="Arial" w:hAnsi="Arial" w:cs="Arial"/>
        </w:rPr>
        <w:t>Estado</w:t>
      </w:r>
      <w:r>
        <w:rPr>
          <w:rFonts w:ascii="Arial" w:hAnsi="Arial" w:cs="Arial"/>
        </w:rPr>
        <w:t xml:space="preserve">, y numeral 8 de la </w:t>
      </w:r>
      <w:r w:rsidR="00C14F0A">
        <w:rPr>
          <w:rFonts w:ascii="Arial" w:hAnsi="Arial" w:cs="Arial"/>
        </w:rPr>
        <w:t xml:space="preserve">Ley </w:t>
      </w:r>
      <w:r>
        <w:rPr>
          <w:rFonts w:ascii="Arial" w:hAnsi="Arial" w:cs="Arial"/>
        </w:rPr>
        <w:t xml:space="preserve">de </w:t>
      </w:r>
      <w:r w:rsidR="00C14F0A">
        <w:rPr>
          <w:rFonts w:ascii="Arial" w:hAnsi="Arial" w:cs="Arial"/>
        </w:rPr>
        <w:t xml:space="preserve">Transparencia </w:t>
      </w:r>
      <w:r>
        <w:rPr>
          <w:rFonts w:ascii="Arial" w:hAnsi="Arial" w:cs="Arial"/>
        </w:rPr>
        <w:t xml:space="preserve">y </w:t>
      </w:r>
      <w:r w:rsidR="00C14F0A">
        <w:rPr>
          <w:rFonts w:ascii="Arial" w:hAnsi="Arial" w:cs="Arial"/>
        </w:rPr>
        <w:t xml:space="preserve">Acceso </w:t>
      </w:r>
      <w:r>
        <w:rPr>
          <w:rFonts w:ascii="Arial" w:hAnsi="Arial" w:cs="Arial"/>
        </w:rPr>
        <w:t xml:space="preserve">a la </w:t>
      </w:r>
      <w:r w:rsidR="00C14F0A">
        <w:rPr>
          <w:rFonts w:ascii="Arial" w:hAnsi="Arial" w:cs="Arial"/>
        </w:rPr>
        <w:t xml:space="preserve">Información Pública </w:t>
      </w:r>
      <w:r>
        <w:rPr>
          <w:rFonts w:ascii="Arial" w:hAnsi="Arial" w:cs="Arial"/>
        </w:rPr>
        <w:t xml:space="preserve">del </w:t>
      </w:r>
      <w:r w:rsidR="00C14F0A">
        <w:rPr>
          <w:rFonts w:ascii="Arial" w:hAnsi="Arial" w:cs="Arial"/>
        </w:rPr>
        <w:t xml:space="preserve">Estado </w:t>
      </w:r>
      <w:r>
        <w:rPr>
          <w:rFonts w:ascii="Arial" w:hAnsi="Arial" w:cs="Arial"/>
        </w:rPr>
        <w:t xml:space="preserve">de </w:t>
      </w:r>
      <w:r w:rsidR="00C14F0A">
        <w:rPr>
          <w:rFonts w:ascii="Arial" w:hAnsi="Arial" w:cs="Arial"/>
        </w:rPr>
        <w:t xml:space="preserve">Jalisco </w:t>
      </w:r>
      <w:r>
        <w:rPr>
          <w:rFonts w:ascii="Arial" w:hAnsi="Arial" w:cs="Arial"/>
        </w:rPr>
        <w:t xml:space="preserve">y sus </w:t>
      </w:r>
      <w:r w:rsidR="00C14F0A">
        <w:rPr>
          <w:rFonts w:ascii="Arial" w:hAnsi="Arial" w:cs="Arial"/>
        </w:rPr>
        <w:t>Municipios</w:t>
      </w:r>
      <w:r w:rsidR="005B4DCC" w:rsidRPr="00E37FB4">
        <w:rPr>
          <w:rFonts w:ascii="Arial" w:hAnsi="Arial" w:cs="Arial"/>
        </w:rPr>
        <w:t>…”.</w:t>
      </w:r>
    </w:p>
    <w:p w:rsidR="0034425A" w:rsidRDefault="0034425A" w:rsidP="0034425A">
      <w:pPr>
        <w:spacing w:after="0"/>
        <w:ind w:right="49"/>
        <w:jc w:val="both"/>
        <w:rPr>
          <w:rFonts w:ascii="Arial" w:hAnsi="Arial" w:cs="Arial"/>
          <w:bCs/>
          <w:sz w:val="24"/>
          <w:szCs w:val="24"/>
        </w:rPr>
      </w:pPr>
    </w:p>
    <w:p w:rsidR="00FE3FA3" w:rsidRPr="00344389" w:rsidRDefault="00FE3FA3" w:rsidP="0034425A">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34425A">
      <w:pPr>
        <w:spacing w:after="0"/>
        <w:ind w:right="49"/>
        <w:jc w:val="both"/>
        <w:rPr>
          <w:rFonts w:ascii="Arial" w:eastAsia="Calibri" w:hAnsi="Arial" w:cs="Arial"/>
          <w:bCs/>
          <w:sz w:val="24"/>
          <w:szCs w:val="24"/>
          <w:lang w:val="es-MX"/>
        </w:rPr>
      </w:pPr>
    </w:p>
    <w:p w:rsidR="00FE3FA3" w:rsidRPr="00344389" w:rsidRDefault="00FE3FA3" w:rsidP="0034425A">
      <w:pPr>
        <w:tabs>
          <w:tab w:val="left" w:pos="851"/>
          <w:tab w:val="left" w:pos="1418"/>
          <w:tab w:val="left" w:leader="dot" w:pos="7655"/>
        </w:tabs>
        <w:spacing w:after="0"/>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34425A">
      <w:pPr>
        <w:tabs>
          <w:tab w:val="left" w:pos="851"/>
          <w:tab w:val="left" w:pos="1418"/>
          <w:tab w:val="left" w:leader="dot" w:pos="7655"/>
          <w:tab w:val="left" w:pos="9639"/>
        </w:tabs>
        <w:spacing w:after="0"/>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C14F0A">
        <w:rPr>
          <w:rFonts w:ascii="Arial" w:hAnsi="Arial" w:cs="Arial"/>
          <w:bCs/>
          <w:sz w:val="24"/>
          <w:szCs w:val="24"/>
          <w:lang w:val="es-MX"/>
        </w:rPr>
        <w:t>24</w:t>
      </w:r>
      <w:r w:rsidRPr="00344389">
        <w:rPr>
          <w:rFonts w:ascii="Arial" w:hAnsi="Arial" w:cs="Arial"/>
          <w:bCs/>
          <w:sz w:val="24"/>
          <w:szCs w:val="24"/>
          <w:lang w:val="es-MX"/>
        </w:rPr>
        <w:t xml:space="preserve"> de </w:t>
      </w:r>
      <w:r w:rsidR="005B4DCC">
        <w:rPr>
          <w:rFonts w:ascii="Arial" w:hAnsi="Arial" w:cs="Arial"/>
          <w:bCs/>
          <w:sz w:val="24"/>
          <w:szCs w:val="24"/>
          <w:lang w:val="es-MX"/>
        </w:rPr>
        <w:t>abril</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34425A">
      <w:pPr>
        <w:tabs>
          <w:tab w:val="left" w:pos="851"/>
          <w:tab w:val="left" w:pos="1418"/>
          <w:tab w:val="left" w:leader="dot" w:pos="7655"/>
          <w:tab w:val="left" w:pos="8931"/>
        </w:tabs>
        <w:spacing w:after="0"/>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34425A">
      <w:pPr>
        <w:tabs>
          <w:tab w:val="left" w:pos="851"/>
          <w:tab w:val="left" w:pos="1418"/>
          <w:tab w:val="left" w:leader="dot" w:pos="7655"/>
          <w:tab w:val="left" w:pos="8931"/>
        </w:tabs>
        <w:spacing w:after="0"/>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34425A" w:rsidRPr="00344389" w:rsidRDefault="0034425A" w:rsidP="0034425A">
      <w:pPr>
        <w:tabs>
          <w:tab w:val="left" w:pos="851"/>
          <w:tab w:val="left" w:pos="1418"/>
          <w:tab w:val="left" w:leader="dot" w:pos="7655"/>
          <w:tab w:val="left" w:pos="8931"/>
        </w:tabs>
        <w:spacing w:after="0"/>
        <w:jc w:val="center"/>
        <w:rPr>
          <w:rFonts w:ascii="Arial" w:hAnsi="Arial" w:cs="Arial"/>
          <w:b/>
          <w:bCs/>
          <w:sz w:val="24"/>
          <w:szCs w:val="24"/>
          <w:lang w:val="es-MX"/>
        </w:rPr>
      </w:pPr>
    </w:p>
    <w:p w:rsidR="00FE3FA3" w:rsidRPr="00344389" w:rsidRDefault="00FE3FA3" w:rsidP="0034425A">
      <w:pPr>
        <w:tabs>
          <w:tab w:val="left" w:pos="851"/>
          <w:tab w:val="left" w:pos="1418"/>
          <w:tab w:val="left" w:leader="dot" w:pos="7655"/>
          <w:tab w:val="left" w:pos="8931"/>
        </w:tabs>
        <w:spacing w:after="0"/>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B42577" w:rsidRDefault="00B42577" w:rsidP="00FE3FA3">
      <w:pPr>
        <w:tabs>
          <w:tab w:val="left" w:pos="1290"/>
        </w:tabs>
        <w:spacing w:after="0" w:line="240" w:lineRule="auto"/>
        <w:rPr>
          <w:rFonts w:ascii="Arial" w:hAnsi="Arial" w:cs="Arial"/>
          <w:sz w:val="16"/>
          <w:szCs w:val="12"/>
          <w:lang w:val="es-MX"/>
        </w:rPr>
      </w:pPr>
    </w:p>
    <w:p w:rsidR="00FE3FA3" w:rsidRDefault="008D0841" w:rsidP="00FE3FA3">
      <w:pPr>
        <w:tabs>
          <w:tab w:val="left" w:pos="1290"/>
        </w:tabs>
        <w:spacing w:after="0" w:line="240" w:lineRule="auto"/>
        <w:rPr>
          <w:rFonts w:ascii="Arial" w:hAnsi="Arial" w:cs="Arial"/>
          <w:sz w:val="16"/>
          <w:szCs w:val="12"/>
          <w:lang w:val="es-MX"/>
        </w:rPr>
      </w:pPr>
      <w:bookmarkStart w:id="0" w:name="_GoBack"/>
      <w:bookmarkEnd w:id="0"/>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8D0841">
      <w:pPr>
        <w:tabs>
          <w:tab w:val="left" w:pos="1290"/>
        </w:tabs>
        <w:spacing w:after="0" w:line="240" w:lineRule="auto"/>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180C1F">
      <w:headerReference w:type="default" r:id="rId8"/>
      <w:footerReference w:type="default" r:id="rId9"/>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A0C" w:rsidRDefault="003D0A0C" w:rsidP="00FE3FA3">
      <w:pPr>
        <w:spacing w:after="0" w:line="240" w:lineRule="auto"/>
      </w:pPr>
      <w:r>
        <w:separator/>
      </w:r>
    </w:p>
  </w:endnote>
  <w:endnote w:type="continuationSeparator" w:id="0">
    <w:p w:rsidR="003D0A0C" w:rsidRDefault="003D0A0C"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A0C" w:rsidRDefault="003D0A0C" w:rsidP="00FE3FA3">
      <w:pPr>
        <w:spacing w:after="0" w:line="240" w:lineRule="auto"/>
      </w:pPr>
      <w:r>
        <w:separator/>
      </w:r>
    </w:p>
  </w:footnote>
  <w:footnote w:type="continuationSeparator" w:id="0">
    <w:p w:rsidR="003D0A0C" w:rsidRDefault="003D0A0C"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2239B59A" wp14:editId="1AF88BA5">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239B59A"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4C120358" wp14:editId="6A172EF8">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52999"/>
    <w:multiLevelType w:val="hybridMultilevel"/>
    <w:tmpl w:val="698EE14C"/>
    <w:lvl w:ilvl="0" w:tplc="CE5EA520">
      <w:start w:val="1"/>
      <w:numFmt w:val="upperRoman"/>
      <w:lvlText w:val="%1."/>
      <w:lvlJc w:val="left"/>
      <w:pPr>
        <w:ind w:left="1287" w:hanging="720"/>
      </w:pPr>
      <w:rPr>
        <w:rFonts w:hint="default"/>
        <w:b w:val="0"/>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5325"/>
    <w:rsid w:val="00043D41"/>
    <w:rsid w:val="00052E05"/>
    <w:rsid w:val="00066929"/>
    <w:rsid w:val="001252E4"/>
    <w:rsid w:val="001473B6"/>
    <w:rsid w:val="00157456"/>
    <w:rsid w:val="00165ADC"/>
    <w:rsid w:val="00165C6C"/>
    <w:rsid w:val="001805A9"/>
    <w:rsid w:val="00180C1F"/>
    <w:rsid w:val="00185A0A"/>
    <w:rsid w:val="0019529B"/>
    <w:rsid w:val="001A4D6B"/>
    <w:rsid w:val="002024CB"/>
    <w:rsid w:val="00247FE6"/>
    <w:rsid w:val="00261FB3"/>
    <w:rsid w:val="002712E8"/>
    <w:rsid w:val="002757CE"/>
    <w:rsid w:val="00286835"/>
    <w:rsid w:val="002B2AD0"/>
    <w:rsid w:val="002C6B2A"/>
    <w:rsid w:val="002D6CAC"/>
    <w:rsid w:val="002F7FB3"/>
    <w:rsid w:val="0030572C"/>
    <w:rsid w:val="0034425A"/>
    <w:rsid w:val="00344389"/>
    <w:rsid w:val="00392408"/>
    <w:rsid w:val="003B25A3"/>
    <w:rsid w:val="003C4178"/>
    <w:rsid w:val="003C488E"/>
    <w:rsid w:val="003D0A0C"/>
    <w:rsid w:val="004A2FD4"/>
    <w:rsid w:val="004F458E"/>
    <w:rsid w:val="004F5F51"/>
    <w:rsid w:val="00524F4B"/>
    <w:rsid w:val="00527CEF"/>
    <w:rsid w:val="00536E24"/>
    <w:rsid w:val="005541C8"/>
    <w:rsid w:val="0057099D"/>
    <w:rsid w:val="00583D7A"/>
    <w:rsid w:val="005B45B0"/>
    <w:rsid w:val="005B4DCC"/>
    <w:rsid w:val="0064304B"/>
    <w:rsid w:val="006A3829"/>
    <w:rsid w:val="006B2AF8"/>
    <w:rsid w:val="006E489B"/>
    <w:rsid w:val="00705445"/>
    <w:rsid w:val="00711991"/>
    <w:rsid w:val="0076191E"/>
    <w:rsid w:val="007C0C08"/>
    <w:rsid w:val="007C14AD"/>
    <w:rsid w:val="008218B2"/>
    <w:rsid w:val="008540FA"/>
    <w:rsid w:val="0085472B"/>
    <w:rsid w:val="00862768"/>
    <w:rsid w:val="00892E30"/>
    <w:rsid w:val="008B716B"/>
    <w:rsid w:val="008C29B9"/>
    <w:rsid w:val="008D0841"/>
    <w:rsid w:val="00965AFA"/>
    <w:rsid w:val="0099008A"/>
    <w:rsid w:val="00993C23"/>
    <w:rsid w:val="009B0487"/>
    <w:rsid w:val="00A1142B"/>
    <w:rsid w:val="00A312B5"/>
    <w:rsid w:val="00A4746C"/>
    <w:rsid w:val="00A5290D"/>
    <w:rsid w:val="00A61810"/>
    <w:rsid w:val="00A84C8C"/>
    <w:rsid w:val="00AE5A41"/>
    <w:rsid w:val="00B04499"/>
    <w:rsid w:val="00B42577"/>
    <w:rsid w:val="00B725A3"/>
    <w:rsid w:val="00B74D35"/>
    <w:rsid w:val="00B86E18"/>
    <w:rsid w:val="00B96DD3"/>
    <w:rsid w:val="00C14F0A"/>
    <w:rsid w:val="00C1686D"/>
    <w:rsid w:val="00C3427A"/>
    <w:rsid w:val="00C4188F"/>
    <w:rsid w:val="00C46835"/>
    <w:rsid w:val="00C8169C"/>
    <w:rsid w:val="00D37D0E"/>
    <w:rsid w:val="00DC7953"/>
    <w:rsid w:val="00DE6310"/>
    <w:rsid w:val="00E05623"/>
    <w:rsid w:val="00E27DFA"/>
    <w:rsid w:val="00E37FB4"/>
    <w:rsid w:val="00EC7742"/>
    <w:rsid w:val="00ED1D4F"/>
    <w:rsid w:val="00ED643C"/>
    <w:rsid w:val="00EE1268"/>
    <w:rsid w:val="00F00800"/>
    <w:rsid w:val="00F5360A"/>
    <w:rsid w:val="00F915A9"/>
    <w:rsid w:val="00FB1A06"/>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B4D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B4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832146">
      <w:bodyDiv w:val="1"/>
      <w:marLeft w:val="0"/>
      <w:marRight w:val="0"/>
      <w:marTop w:val="0"/>
      <w:marBottom w:val="0"/>
      <w:divBdr>
        <w:top w:val="none" w:sz="0" w:space="0" w:color="auto"/>
        <w:left w:val="none" w:sz="0" w:space="0" w:color="auto"/>
        <w:bottom w:val="none" w:sz="0" w:space="0" w:color="auto"/>
        <w:right w:val="none" w:sz="0" w:space="0" w:color="auto"/>
      </w:divBdr>
    </w:div>
    <w:div w:id="20778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2</Pages>
  <Words>877</Words>
  <Characters>4825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22</cp:revision>
  <cp:lastPrinted>2019-02-07T02:40:00Z</cp:lastPrinted>
  <dcterms:created xsi:type="dcterms:W3CDTF">2019-02-05T21:58:00Z</dcterms:created>
  <dcterms:modified xsi:type="dcterms:W3CDTF">2019-04-25T00:55:00Z</dcterms:modified>
</cp:coreProperties>
</file>